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auto" w:val="clear"/>
        <w:spacing w:after="0" w:line="240" w:lineRule="auto"/>
        <w:ind w:left="0" w:firstLine="0"/>
        <w:jc w:val="left"/>
        <w:rPr>
          <w:sz w:val="48"/>
          <w:szCs w:val="48"/>
        </w:rPr>
      </w:pPr>
      <w:r w:rsidDel="00000000" w:rsidR="00000000" w:rsidRPr="00000000">
        <w:rPr>
          <w:rFonts w:ascii="SimSun" w:cs="SimSun" w:eastAsia="SimSun" w:hAnsi="SimSun"/>
          <w:sz w:val="48"/>
          <w:szCs w:val="48"/>
          <w:rtl w:val="0"/>
        </w:rPr>
        <w:t xml:space="preserve">业务开发主管Calogero Scibetta</w:t>
      </w: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auto" w:val="clear"/>
        <w:spacing w:after="0" w:line="240" w:lineRule="auto"/>
        <w:ind w:left="0" w:firstLine="0"/>
        <w:jc w:val="left"/>
        <w:rPr>
          <w:sz w:val="48"/>
          <w:szCs w:val="48"/>
        </w:rPr>
      </w:pPr>
      <w:r w:rsidDel="00000000" w:rsidR="00000000" w:rsidRPr="00000000">
        <w:rPr>
          <w:rtl w:val="0"/>
        </w:rPr>
      </w:r>
    </w:p>
    <w:p w:rsidR="00000000" w:rsidDel="00000000" w:rsidP="00000000" w:rsidRDefault="00000000" w:rsidRPr="00000000" w14:paraId="00000003">
      <w:pPr>
        <w:shd w:fill="auto" w:val="clear"/>
        <w:spacing w:after="0" w:line="276" w:lineRule="auto"/>
        <w:ind w:left="0" w:firstLine="0"/>
        <w:jc w:val="left"/>
        <w:rPr>
          <w:b w:val="1"/>
        </w:rPr>
      </w:pPr>
      <w:r w:rsidDel="00000000" w:rsidR="00000000" w:rsidRPr="00000000">
        <w:rPr>
          <w:rtl w:val="0"/>
        </w:rPr>
      </w:r>
    </w:p>
    <w:p w:rsidR="00000000" w:rsidDel="00000000" w:rsidP="00000000" w:rsidRDefault="00000000" w:rsidRPr="00000000" w14:paraId="00000004">
      <w:pPr>
        <w:shd w:fill="auto" w:val="clear"/>
        <w:spacing w:after="0" w:line="240" w:lineRule="auto"/>
        <w:ind w:left="0" w:right="-90" w:firstLine="0"/>
        <w:jc w:val="left"/>
        <w:rPr>
          <w:rFonts w:ascii="Lato Light" w:cs="Lato Light" w:eastAsia="Lato Light" w:hAnsi="Lato Light"/>
        </w:rPr>
      </w:pPr>
      <w:r w:rsidDel="00000000" w:rsidR="00000000" w:rsidRPr="00000000">
        <w:rPr>
          <w:rFonts w:ascii="Lato Light" w:cs="Lato Light" w:eastAsia="Lato Light" w:hAnsi="Lato Light"/>
          <w:rtl w:val="0"/>
        </w:rPr>
        <w:t xml:space="preserve">Calogero在奢侈品、珠宝、葡萄酒、艺术品和保险领域拥有专业知识，拓展了易葳录在各个行业的合作伙伴关系和客户组合。他具有前瞻性思维，致力于帮助客户利用技术解决他们的业务挑战。</w:t>
      </w:r>
    </w:p>
    <w:p w:rsidR="00000000" w:rsidDel="00000000" w:rsidP="00000000" w:rsidRDefault="00000000" w:rsidRPr="00000000" w14:paraId="00000005">
      <w:pPr>
        <w:shd w:fill="auto" w:val="clear"/>
        <w:spacing w:after="0" w:line="240" w:lineRule="auto"/>
        <w:ind w:left="0" w:right="-90" w:firstLine="0"/>
        <w:jc w:val="left"/>
        <w:rPr>
          <w:rFonts w:ascii="Lato Light" w:cs="Lato Light" w:eastAsia="Lato Light" w:hAnsi="Lato Light"/>
        </w:rPr>
      </w:pPr>
      <w:r w:rsidDel="00000000" w:rsidR="00000000" w:rsidRPr="00000000">
        <w:rPr>
          <w:rtl w:val="0"/>
        </w:rPr>
      </w:r>
    </w:p>
    <w:p w:rsidR="00000000" w:rsidDel="00000000" w:rsidP="00000000" w:rsidRDefault="00000000" w:rsidRPr="00000000" w14:paraId="00000006">
      <w:pPr>
        <w:shd w:fill="auto" w:val="clear"/>
        <w:spacing w:after="0" w:line="240" w:lineRule="auto"/>
        <w:ind w:left="0" w:right="-90" w:firstLine="0"/>
        <w:jc w:val="left"/>
        <w:rPr>
          <w:rFonts w:ascii="Lato Light" w:cs="Lato Light" w:eastAsia="Lato Light" w:hAnsi="Lato Light"/>
        </w:rPr>
      </w:pPr>
      <w:r w:rsidDel="00000000" w:rsidR="00000000" w:rsidRPr="00000000">
        <w:rPr>
          <w:rFonts w:ascii="Lato Light" w:cs="Lato Light" w:eastAsia="Lato Light" w:hAnsi="Lato Light"/>
          <w:rtl w:val="0"/>
        </w:rPr>
        <w:t xml:space="preserve">Calogero此前在福雷斯特研究公司工作，专注于为保险、奢侈品和IT服务领域的主要客户建立全球战略合作伙伴关系。他还曾在伦敦国王学院和米兰理工大学客座讲授区块链和商业模式创新。</w:t>
      </w:r>
      <w:r w:rsidDel="00000000" w:rsidR="00000000" w:rsidRPr="00000000">
        <w:rPr>
          <w:rtl w:val="0"/>
        </w:rPr>
      </w:r>
    </w:p>
    <w:p w:rsidR="00000000" w:rsidDel="00000000" w:rsidP="00000000" w:rsidRDefault="00000000" w:rsidRPr="00000000" w14:paraId="00000007">
      <w:pPr>
        <w:shd w:fill="auto" w:val="clear"/>
        <w:spacing w:after="0" w:line="240" w:lineRule="auto"/>
        <w:ind w:left="0" w:right="-270" w:firstLine="0"/>
        <w:jc w:val="left"/>
        <w:rPr>
          <w:rFonts w:ascii="Lato Light" w:cs="Lato Light" w:eastAsia="Lato Light" w:hAnsi="Lato Light"/>
        </w:rPr>
      </w:pPr>
      <w:r w:rsidDel="00000000" w:rsidR="00000000" w:rsidRPr="00000000">
        <w:rPr>
          <w:rtl w:val="0"/>
        </w:rPr>
      </w:r>
    </w:p>
    <w:sectPr>
      <w:pgSz w:h="15840" w:w="12240"/>
      <w:pgMar w:bottom="1440" w:top="1440" w:left="1440" w:right="13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SimSun"/>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ato Black">
    <w:embedBold w:fontKey="{00000000-0000-0000-0000-000000000000}" r:id="rId9" w:subsetted="0"/>
    <w:embedBoldItalic w:fontKey="{00000000-0000-0000-0000-000000000000}" r:id="rId10"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1f3340"/>
        <w:sz w:val="22"/>
        <w:szCs w:val="22"/>
        <w:lang w:val="en"/>
      </w:rPr>
    </w:rPrDefault>
    <w:pPrDefault>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ind w:left="2160" w:firstLine="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480" w:lineRule="auto"/>
    </w:pPr>
    <w:rPr>
      <w:rFonts w:ascii="Lato" w:cs="Lato" w:eastAsia="Lato" w:hAnsi="Lato"/>
      <w:b w:val="1"/>
      <w:color w:val="1f3340"/>
      <w:sz w:val="40"/>
      <w:szCs w:val="40"/>
    </w:rPr>
  </w:style>
  <w:style w:type="paragraph" w:styleId="Heading2">
    <w:name w:val="heading 2"/>
    <w:basedOn w:val="Normal"/>
    <w:next w:val="Normal"/>
    <w:pPr>
      <w:keepNext w:val="1"/>
      <w:keepLines w:val="1"/>
      <w:spacing w:after="120" w:before="360" w:line="360" w:lineRule="auto"/>
    </w:pPr>
    <w:rPr>
      <w:rFonts w:ascii="Lato" w:cs="Lato" w:eastAsia="Lato" w:hAnsi="Lato"/>
      <w:b w:val="1"/>
      <w:color w:val="1f3340"/>
      <w:sz w:val="32"/>
      <w:szCs w:val="32"/>
    </w:rPr>
  </w:style>
  <w:style w:type="paragraph" w:styleId="Heading3">
    <w:name w:val="heading 3"/>
    <w:basedOn w:val="Normal"/>
    <w:next w:val="Normal"/>
    <w:pPr>
      <w:keepNext w:val="1"/>
      <w:keepLines w:val="1"/>
      <w:spacing w:after="80" w:before="320" w:line="360" w:lineRule="auto"/>
    </w:pPr>
    <w:rPr>
      <w:b w:val="1"/>
      <w:color w:val="6c8793"/>
      <w:sz w:val="28"/>
      <w:szCs w:val="28"/>
    </w:rPr>
  </w:style>
  <w:style w:type="paragraph" w:styleId="Heading4">
    <w:name w:val="heading 4"/>
    <w:basedOn w:val="Normal"/>
    <w:next w:val="Normal"/>
    <w:pPr>
      <w:keepNext w:val="1"/>
      <w:keepLines w:val="1"/>
      <w:spacing w:after="80" w:before="280" w:line="360" w:lineRule="auto"/>
    </w:pPr>
    <w:rPr>
      <w:b w:val="1"/>
      <w:color w:val="6c8793"/>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rFonts w:ascii="Lato Black" w:cs="Lato Black" w:eastAsia="Lato Black" w:hAnsi="Lato Black"/>
      <w:sz w:val="52"/>
      <w:szCs w:val="52"/>
    </w:rPr>
  </w:style>
  <w:style w:type="paragraph" w:styleId="Subtitle">
    <w:name w:val="Subtitle"/>
    <w:basedOn w:val="Normal"/>
    <w:next w:val="Normal"/>
    <w:pPr>
      <w:keepNext w:val="1"/>
      <w:keepLines w:val="1"/>
      <w:spacing w:after="320" w:lineRule="auto"/>
    </w:pPr>
    <w:rPr>
      <w:color w:val="6c8793"/>
      <w:sz w:val="36"/>
      <w:szCs w:val="3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10" Type="http://schemas.openxmlformats.org/officeDocument/2006/relationships/font" Target="fonts/LatoBlack-boldItalic.ttf"/><Relationship Id="rId9" Type="http://schemas.openxmlformats.org/officeDocument/2006/relationships/font" Target="fonts/LatoBlack-bold.ttf"/><Relationship Id="rId5" Type="http://schemas.openxmlformats.org/officeDocument/2006/relationships/font" Target="fonts/LatoLight-regular.ttf"/><Relationship Id="rId6" Type="http://schemas.openxmlformats.org/officeDocument/2006/relationships/font" Target="fonts/LatoLight-bold.ttf"/><Relationship Id="rId7" Type="http://schemas.openxmlformats.org/officeDocument/2006/relationships/font" Target="fonts/LatoLight-italic.ttf"/><Relationship Id="rId8" Type="http://schemas.openxmlformats.org/officeDocument/2006/relationships/font" Target="fonts/Lato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