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Fonts w:ascii="SimSun" w:cs="SimSun" w:eastAsia="SimSun" w:hAnsi="SimSun"/>
          <w:sz w:val="48"/>
          <w:szCs w:val="48"/>
          <w:rtl w:val="0"/>
        </w:rPr>
        <w:t xml:space="preserve">葡萄酒和烈酒产品负责人Eric Robertson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auto" w:val="clear"/>
        <w:spacing w:after="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Eric领导我们的葡萄酒和烈酒项目，运用他在国际食品和饮料管理方面的丰富经验，在美国和中国创建了以酒店为中心的业务。 </w:t>
      </w:r>
    </w:p>
    <w:p w:rsidR="00000000" w:rsidDel="00000000" w:rsidP="00000000" w:rsidRDefault="00000000" w:rsidRPr="00000000" w14:paraId="00000005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他还拥有珠宝和宝石行业的领导和业务开发背景。他为数家珠宝出版物撰写了关于可持续商业实践的文章，并率先采用了从矿场到市场的透明度。</w:t>
      </w:r>
    </w:p>
    <w:p w:rsidR="00000000" w:rsidDel="00000000" w:rsidP="00000000" w:rsidRDefault="00000000" w:rsidRPr="00000000" w14:paraId="00000007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领英： https://www.linkedin.com/in/3ricrob3rtson/ </w:t>
      </w:r>
    </w:p>
    <w:p w:rsidR="00000000" w:rsidDel="00000000" w:rsidP="00000000" w:rsidRDefault="00000000" w:rsidRPr="00000000" w14:paraId="00000009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推特： @Eric_Robertson_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auto" w:val="clear"/>
        <w:spacing w:after="0" w:line="240" w:lineRule="auto"/>
        <w:ind w:left="0" w:right="-27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f3340"/>
        <w:sz w:val="22"/>
        <w:szCs w:val="22"/>
        <w:lang w:val="en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ind w:left="216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480" w:lineRule="auto"/>
    </w:pPr>
    <w:rPr>
      <w:rFonts w:ascii="Lato" w:cs="Lato" w:eastAsia="Lato" w:hAnsi="Lato"/>
      <w:b w:val="1"/>
      <w:color w:val="1f334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</w:pPr>
    <w:rPr>
      <w:rFonts w:ascii="Lato" w:cs="Lato" w:eastAsia="Lato" w:hAnsi="Lato"/>
      <w:b w:val="1"/>
      <w:color w:val="1f334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color w:val="6c879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</w:pPr>
    <w:rPr>
      <w:b w:val="1"/>
      <w:color w:val="6c879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Lato Black" w:cs="Lato Black" w:eastAsia="Lato Black" w:hAnsi="Lato Black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c8793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