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Fonts w:ascii="SimSun" w:cs="SimSun" w:eastAsia="SimSun" w:hAnsi="SimSun"/>
          <w:sz w:val="48"/>
          <w:szCs w:val="48"/>
          <w:rtl w:val="0"/>
        </w:rPr>
        <w:t xml:space="preserve">金属与矿产生态系统业务开发总监Lauren 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line="240" w:lineRule="auto"/>
        <w:ind w:left="0" w:firstLine="0"/>
        <w:jc w:val="left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auto" w:val="clear"/>
        <w:spacing w:after="0" w:line="276" w:lineRule="auto"/>
        <w:ind w:lef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Lauren负责开发易葳录在金属和矿产领域的业务，专注于与行业协会和品牌所有者的合作。 </w:t>
      </w:r>
    </w:p>
    <w:p w:rsidR="00000000" w:rsidDel="00000000" w:rsidP="00000000" w:rsidRDefault="00000000" w:rsidRPr="00000000" w14:paraId="00000005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Lauren在职业生涯中的大部分时间都在与政府、企业和非政府组织合作处理电子产品电子生命周期的问题，并在美国环保局电子生命周期管理计划中发挥了核心作用。她现在任职仁职于全球电池联盟循环经济工作组、NAATBatt回收委员会、AIM（自动识别和移动）区块链委员会和逆向物流协会标准发展委员会。 </w:t>
      </w:r>
    </w:p>
    <w:p w:rsidR="00000000" w:rsidDel="00000000" w:rsidP="00000000" w:rsidRDefault="00000000" w:rsidRPr="00000000" w14:paraId="00000007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auto" w:val="clear"/>
        <w:spacing w:after="0" w:line="240" w:lineRule="auto"/>
        <w:ind w:left="0" w:right="-9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Fonts w:ascii="Lato Light" w:cs="Lato Light" w:eastAsia="Lato Light" w:hAnsi="Lato Light"/>
          <w:rtl w:val="0"/>
        </w:rPr>
        <w:t xml:space="preserve">领英： https://www.linkedin.com/in/laurenroman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auto" w:val="clear"/>
        <w:spacing w:after="0" w:line="240" w:lineRule="auto"/>
        <w:ind w:left="0" w:right="-270" w:firstLine="0"/>
        <w:jc w:val="left"/>
        <w:rPr>
          <w:rFonts w:ascii="Lato Light" w:cs="Lato Light" w:eastAsia="Lato Light" w:hAnsi="Lato Light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mSu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Lato Black">
    <w:embedBold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1f3340"/>
        <w:sz w:val="22"/>
        <w:szCs w:val="22"/>
        <w:lang w:val="en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="360" w:lineRule="auto"/>
        <w:ind w:left="2160" w:firstLine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480" w:lineRule="auto"/>
    </w:pPr>
    <w:rPr>
      <w:rFonts w:ascii="Lato" w:cs="Lato" w:eastAsia="Lato" w:hAnsi="Lato"/>
      <w:b w:val="1"/>
      <w:color w:val="1f334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360" w:lineRule="auto"/>
    </w:pPr>
    <w:rPr>
      <w:rFonts w:ascii="Lato" w:cs="Lato" w:eastAsia="Lato" w:hAnsi="Lato"/>
      <w:b w:val="1"/>
      <w:color w:val="1f334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b w:val="1"/>
      <w:color w:val="6c879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</w:pPr>
    <w:rPr>
      <w:b w:val="1"/>
      <w:color w:val="6c8793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Lato Black" w:cs="Lato Black" w:eastAsia="Lato Black" w:hAnsi="Lato Black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c8793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10" Type="http://schemas.openxmlformats.org/officeDocument/2006/relationships/font" Target="fonts/LatoBlack-boldItalic.ttf"/><Relationship Id="rId9" Type="http://schemas.openxmlformats.org/officeDocument/2006/relationships/font" Target="fonts/LatoBlack-bold.ttf"/><Relationship Id="rId5" Type="http://schemas.openxmlformats.org/officeDocument/2006/relationships/font" Target="fonts/LatoLight-regular.ttf"/><Relationship Id="rId6" Type="http://schemas.openxmlformats.org/officeDocument/2006/relationships/font" Target="fonts/LatoLight-bold.ttf"/><Relationship Id="rId7" Type="http://schemas.openxmlformats.org/officeDocument/2006/relationships/font" Target="fonts/LatoLight-italic.ttf"/><Relationship Id="rId8" Type="http://schemas.openxmlformats.org/officeDocument/2006/relationships/font" Target="fonts/La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